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gjdgxs" w:id="0"/>
      <w:bookmarkEnd w:id="0"/>
      <w:r w:rsidDel="00000000" w:rsidR="00000000" w:rsidRPr="00000000">
        <w:rPr>
          <w:rtl w:val="0"/>
        </w:rPr>
        <w:t xml:space="preserve">3 on 3 Waitangi Tournament</w:t>
      </w:r>
    </w:p>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sz w:val="40"/>
          <w:szCs w:val="40"/>
          <w:rtl w:val="0"/>
        </w:rPr>
        <w:t xml:space="preserve">February</w:t>
      </w:r>
      <w:r w:rsidDel="00000000" w:rsidR="00000000" w:rsidRPr="00000000">
        <w:rPr>
          <w:rtl w:val="0"/>
        </w:rPr>
        <w:t xml:space="preserve"> </w:t>
      </w:r>
      <w:r w:rsidDel="00000000" w:rsidR="00000000" w:rsidRPr="00000000">
        <w:rPr>
          <w:sz w:val="32"/>
          <w:szCs w:val="32"/>
          <w:rtl w:val="0"/>
        </w:rPr>
        <w:t xml:space="preserve">8, 9 &amp; 10 2019</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sz w:val="20"/>
          <w:szCs w:val="20"/>
          <w:rtl w:val="0"/>
        </w:rPr>
        <w:t xml:space="preserve">The organisers reserve the right to play tournament games on the evening of Friday 8th February 2019</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Tournament Event Notice</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Grades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U10 &amp; U12</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U14 &amp; U16</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Senior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Premier</w:t>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Rules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Teams may be made up of players from any club, but all players and officials must be current registered members of the IHNZ (2018 or 2019). Player and official registrations will only be received as per normal process, ie via club secretary.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Players must play for only one and the same team throughout the tournament.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Each player is personally responsible to wear protective equipment for all games and warm-ups.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the U10 &amp; U12 grade, each team must have a minimum of 2 U10 players.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the U14 &amp; U16 grade, each team must have a minimum of 2 U14 players.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Senior Team can consist of 1 premier player only, 2 or more premier players constitutes a Premier Team. (Premier player is constituted to be a player who had participated in Super League or for Club Premier Teams)</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Team entry fee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$275.00 per team, and must be received with team entries. </w:t>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Closing date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Friday 19</w:t>
      </w:r>
      <w:r w:rsidDel="00000000" w:rsidR="00000000" w:rsidRPr="00000000">
        <w:rPr>
          <w:vertAlign w:val="superscript"/>
          <w:rtl w:val="0"/>
        </w:rPr>
        <w:t xml:space="preserve">9h</w:t>
      </w:r>
      <w:r w:rsidDel="00000000" w:rsidR="00000000" w:rsidRPr="00000000">
        <w:rPr>
          <w:rtl w:val="0"/>
        </w:rPr>
        <w:t xml:space="preserve"> January 2019 at 5 pm as per the attached form.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Registration link: </w:t>
      </w:r>
      <w:hyperlink r:id="rId6">
        <w:r w:rsidDel="00000000" w:rsidR="00000000" w:rsidRPr="00000000">
          <w:rPr>
            <w:rFonts w:ascii="Roboto" w:cs="Roboto" w:eastAsia="Roboto" w:hAnsi="Roboto"/>
            <w:color w:val="1155cc"/>
            <w:sz w:val="20"/>
            <w:szCs w:val="20"/>
            <w:u w:val="single"/>
            <w:rtl w:val="0"/>
          </w:rPr>
          <w:t xml:space="preserve">https://goo.gl/ZsGEfB</w:t>
        </w:r>
      </w:hyperlink>
      <w:r w:rsidDel="00000000" w:rsidR="00000000" w:rsidRPr="00000000">
        <w:rPr>
          <w:rFonts w:ascii="Roboto" w:cs="Roboto" w:eastAsia="Roboto" w:hAnsi="Roboto"/>
          <w:color w:val="444444"/>
          <w:sz w:val="20"/>
          <w:szCs w:val="20"/>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Team entry fees are non-refundable once the team has registered. Organiser reserve the right to ballot entries, and has the right to refuse entry to the event and to the building, and may in the interest of the tournament, regrade teams and reschedule games to ensure optimal playing conditions.</w:t>
      </w:r>
    </w:p>
    <w:p w:rsidR="00000000" w:rsidDel="00000000" w:rsidP="00000000" w:rsidRDefault="00000000" w:rsidRPr="00000000" w14:paraId="00000016">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Venue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rink complies with the safety standards and rink dimensions set out by the IHNZ Inline Hockey Rule Book. The goals are the official size as stipulated in the IHNZ Rulebook. An electronic clock/score bench is used for timing all games and keeping the players, officials and spectators informed of the score and the time remaining. Smoking is prohibited in all areas of the arena. No pets allowed in the arena. The Club reserves the right to livestream all games and make available via public and social media. All entrants to the arena agree to abide by local club rules.</w:t>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Games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Playing rules are those set down in the IHNZ Rulebook with the notable difference this being a 3 players on 3 players tournament and there are no offside. A clash of jersey colours will mean the home team has the choice of jerseys colour. The official tournament puck is to the IDS puck for all games. Time out will be one per team per game. There will be no stop time in a pool play. Stop time will apply for all finals only or for those games where a result is required.</w:t>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Health &amp; Safety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First aid will need to be provided by each team. The club will have ice packs available.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Measures are taken to ensure the safety of spectators (e.g. safety netting, crowd control to keep spectators away from the barriers, etc.) All skates must be rink friendly – e.g. flush mounted axle bolts.</w:t>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Uniforms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Players are uniformly dressed in the same colour and style playing shirts, cover pants are mandatory and should be of the same colour.:-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Has a current IHNZ registration</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Is playing in the grade for which he/she is eligible or in a higher or older grade (i.e. an U16 player is not permitted to play in an U14 team but may play in the senior grade)</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Maximum roster per team is 9 players and 2 goalies</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Failure to comply with these requirements may see the team disqualified from the event.</w:t>
      </w:r>
      <w:r w:rsidDel="00000000" w:rsidR="00000000" w:rsidRPr="00000000">
        <w:rPr>
          <w:rtl w:val="0"/>
        </w:rPr>
      </w:r>
    </w:p>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Officials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teams must supply a referee and score bench official that will be available via a roster to assist during the tournament.</w:t>
      </w:r>
      <w:r w:rsidDel="00000000" w:rsidR="00000000" w:rsidRPr="00000000">
        <w:rPr>
          <w:rtl w:val="0"/>
        </w:rPr>
      </w:r>
    </w:p>
    <w:p w:rsidR="00000000" w:rsidDel="00000000" w:rsidP="00000000" w:rsidRDefault="00000000" w:rsidRPr="00000000" w14:paraId="00000025">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Referees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Two referees will officiate in each game where possible. Referees where possible shall hold at least a Level  One, Referee  qualification.</w:t>
      </w:r>
    </w:p>
    <w:p w:rsidR="00000000" w:rsidDel="00000000" w:rsidP="00000000" w:rsidRDefault="00000000" w:rsidRPr="00000000" w14:paraId="00000027">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Scorer/Timekeepers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official IHNZ score sheet is used. For each game there is an official scorer, a game timekeeper, and penalty timekeepers.</w:t>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Goal Judges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Goal Judges may be appointed for final games only.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ambria" w:cs="Cambria" w:eastAsia="Cambria" w:hAnsi="Cambria"/>
          <w:color w:val="ff0000"/>
          <w:rtl w:val="0"/>
        </w:rPr>
        <w:t xml:space="preserve">Results</w:t>
      </w:r>
      <w:r w:rsidDel="00000000" w:rsidR="00000000" w:rsidRPr="00000000">
        <w:rPr>
          <w:rtl w:val="0"/>
        </w:rPr>
        <w:br w:type="textWrapping"/>
        <w:t xml:space="preserve">If the addition of points brings two or more teams to an equal amount of points at the end of the round or pool play and positions are required. The final rank will be determined using the tie break process in order as follows: </w:t>
        <w:br w:type="textWrapping"/>
        <w:t xml:space="preserve">A. When only 2 teams are on equal points the victor of the head-to-head within the competition shall be awarded the higher rank. Where there have been multiple rounds the winner of most head to head competition wins. eg: Game 1: Team X 5 goal vs Team Y 2 goals, Game 2: Team X 2 goals vs Team Y 2 goals. Team X has more wins against team Y and is ranked higher. </w:t>
        <w:br w:type="textWrapping"/>
        <w:t xml:space="preserve">B. Goals For Goals Against Differential. Take the goals the teams score and subtract the goals against for all games in the round. eg: Team X scored 21 goals and had 16 against for a differential of 5 goals. Team Y scored 28 goals and had 17 against for a differential of 11. Team Y is ranked higher due to a higher differential. </w:t>
        <w:br w:type="textWrapping"/>
        <w:t xml:space="preserve">C. Goals Against. The highest ranked team has the lowest goals against for the whole round. eg: Team X has 6 goals against and Team Y as 5 goals against. Team Y is ranked higher than Team X. </w:t>
        <w:br w:type="textWrapping"/>
        <w:t xml:space="preserve">D. The team with the least penalty minutes for the entire round is ranked highest. </w:t>
        <w:br w:type="textWrapping"/>
        <w:t xml:space="preserve">E. Coin toss Where more than 2 teams are tied. The tie break sequence is used to identify the highest rank team. Once the highest rank team has been removed begin the tie break process again from Head to head. eg: Team X, Team Y and Team Z are all on equal points. Team Y has the best Goals Against Differential so is ranked highest. Now Team X and Team Z need to be ranked so we start with head to head. Team X won the game against team Z. Final Ranking is: Team Y First, Team X second and Team Z third</w:t>
      </w:r>
    </w:p>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Disciplinary Committee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Tournament Disciplinary Committee will deal with all disciplinary matters. The members of this committee shall be IHNZ members and shall be:-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tournament director, the chief referee, or their nominees and a senior member from a club not involved in the disciplinary matter.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tournament disciplinary committee is empowered to discipline players, teams, team officials and clubs for their conduct both on and off the rink before, during, and after a game.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disciplinary committee may impose disqualification, suspension, fine and/or other measures as deemed appropriate by the committee. Hearings will be conducted at a time notified to the parties involved by the tournament director, tournament will, if applicable, carry over to further IHNZ sanctioned games. Details of all disciplinary panel matters are to be forwarded to the IHNZ and copied to the regional disciplinary panel chairperson.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contextualSpacing w:val="0"/>
    </w:pPr>
    <w:rPr>
      <w:rFonts w:ascii="Cambria" w:cs="Cambria" w:eastAsia="Cambria" w:hAnsi="Cambria"/>
      <w:b w:val="0"/>
      <w:color w:val="366091"/>
      <w:sz w:val="32"/>
      <w:szCs w:val="32"/>
    </w:rPr>
  </w:style>
  <w:style w:type="paragraph" w:styleId="Heading2">
    <w:name w:val="heading 2"/>
    <w:basedOn w:val="Normal"/>
    <w:next w:val="Normal"/>
    <w:pPr>
      <w:keepNext w:val="1"/>
      <w:keepLines w:val="1"/>
      <w:spacing w:after="0" w:before="40" w:line="276" w:lineRule="auto"/>
      <w:contextualSpacing w:val="0"/>
    </w:pPr>
    <w:rPr>
      <w:rFonts w:ascii="Cambria" w:cs="Cambria" w:eastAsia="Cambria" w:hAnsi="Cambria"/>
      <w:b w:val="0"/>
      <w:color w:val="ff0000"/>
      <w:sz w:val="26"/>
      <w:szCs w:val="26"/>
    </w:rPr>
  </w:style>
  <w:style w:type="paragraph" w:styleId="Heading3">
    <w:name w:val="heading 3"/>
    <w:basedOn w:val="Normal"/>
    <w:next w:val="Normal"/>
    <w:pPr>
      <w:keepNext w:val="1"/>
      <w:keepLines w:val="1"/>
      <w:spacing w:after="0" w:before="40" w:line="276" w:lineRule="auto"/>
      <w:contextualSpacing w:val="0"/>
    </w:pPr>
    <w:rPr>
      <w:rFonts w:ascii="Cambria" w:cs="Cambria" w:eastAsia="Cambria" w:hAnsi="Cambria"/>
      <w:b w:val="0"/>
      <w:color w:val="ff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pPr>
    <w:rPr>
      <w:rFonts w:ascii="Cambria" w:cs="Cambria" w:eastAsia="Cambria" w:hAnsi="Cambria"/>
      <w:b w:val="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gl/ZsGEf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